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2F2F7BFA" w:rsidR="006601E7" w:rsidRDefault="006601E7" w:rsidP="006601E7">
      <w:pPr>
        <w:ind w:left="-284"/>
        <w:jc w:val="both"/>
      </w:pPr>
      <w:bookmarkStart w:id="0" w:name="_Hlk97660673"/>
      <w:r>
        <w:t>Comunicado de prensa n.º 1/2024</w:t>
      </w:r>
    </w:p>
    <w:p w14:paraId="01AC8927" w14:textId="77777777" w:rsidR="00C82BE9" w:rsidRDefault="00C82BE9" w:rsidP="006601E7">
      <w:pPr>
        <w:ind w:left="-284"/>
        <w:jc w:val="both"/>
        <w:rPr>
          <w:lang w:val="it-IT"/>
        </w:rPr>
      </w:pPr>
    </w:p>
    <w:bookmarkEnd w:id="0"/>
    <w:p w14:paraId="39BBD5AE" w14:textId="77777777" w:rsidR="00C82BE9" w:rsidRPr="00F42DC9" w:rsidRDefault="00C82BE9" w:rsidP="00C82BE9">
      <w:pPr>
        <w:ind w:left="-284" w:right="-433"/>
        <w:jc w:val="both"/>
        <w:rPr>
          <w:rFonts w:cs="Times New Roman"/>
          <w:b/>
          <w:bCs/>
          <w:sz w:val="28"/>
          <w:szCs w:val="28"/>
        </w:rPr>
      </w:pPr>
      <w:r>
        <w:rPr>
          <w:b/>
          <w:sz w:val="28"/>
        </w:rPr>
        <w:t xml:space="preserve">Máquinas agrícolas: </w:t>
      </w:r>
    </w:p>
    <w:p w14:paraId="7838B760" w14:textId="30E419BB" w:rsidR="00C82BE9" w:rsidRPr="00F42DC9" w:rsidRDefault="00C82BE9" w:rsidP="00C82BE9">
      <w:pPr>
        <w:ind w:left="-284" w:right="-433"/>
        <w:jc w:val="both"/>
        <w:rPr>
          <w:rFonts w:cs="Times New Roman"/>
          <w:b/>
          <w:bCs/>
          <w:sz w:val="28"/>
          <w:szCs w:val="28"/>
        </w:rPr>
      </w:pPr>
      <w:r>
        <w:rPr>
          <w:b/>
          <w:sz w:val="28"/>
        </w:rPr>
        <w:t>la coyuntura frena el crecimiento en el mercado mundial</w:t>
      </w:r>
    </w:p>
    <w:p w14:paraId="753CF61F" w14:textId="77777777" w:rsidR="00C82BE9" w:rsidRPr="00F42DC9" w:rsidRDefault="00C82BE9" w:rsidP="00C82BE9">
      <w:pPr>
        <w:ind w:left="-284" w:right="-433"/>
        <w:jc w:val="both"/>
        <w:rPr>
          <w:rFonts w:cs="Times New Roman"/>
          <w:b/>
          <w:bCs/>
          <w:i/>
          <w:iCs/>
          <w:lang w:val="it-IT"/>
        </w:rPr>
      </w:pPr>
    </w:p>
    <w:p w14:paraId="32DFC4D4" w14:textId="4FF52AA8" w:rsidR="00C82BE9" w:rsidRPr="00F42DC9" w:rsidRDefault="00C82BE9" w:rsidP="00C82BE9">
      <w:pPr>
        <w:ind w:left="-284" w:right="-433"/>
        <w:jc w:val="both"/>
        <w:rPr>
          <w:rFonts w:cs="Times New Roman"/>
          <w:b/>
          <w:bCs/>
          <w:i/>
          <w:iCs/>
        </w:rPr>
      </w:pPr>
      <w:r>
        <w:rPr>
          <w:b/>
          <w:i/>
        </w:rPr>
        <w:t>La crisis geopolítica, la inflación y la subida de los tipos de interés están afectando a las ventas que, hasta 2022, fueron elevadas en todos los principales mercados. La demanda potencial se mantiene alta y se prevé que los flujos comerciales crezcan en los próximos tres años</w:t>
      </w:r>
      <w:r w:rsidR="00A22BFE">
        <w:rPr>
          <w:b/>
          <w:i/>
        </w:rPr>
        <w:t>.</w:t>
      </w:r>
    </w:p>
    <w:p w14:paraId="4D8EC2AB" w14:textId="77777777" w:rsidR="00C82BE9" w:rsidRPr="00F42DC9" w:rsidRDefault="00C82BE9" w:rsidP="00C82BE9">
      <w:pPr>
        <w:ind w:left="-284" w:right="-433"/>
        <w:jc w:val="both"/>
        <w:rPr>
          <w:rFonts w:cs="Times New Roman"/>
          <w:lang w:val="it-IT"/>
        </w:rPr>
      </w:pPr>
    </w:p>
    <w:p w14:paraId="7A926F1D" w14:textId="77777777" w:rsidR="00B75F26" w:rsidRPr="00F42DC9" w:rsidRDefault="00C82BE9" w:rsidP="00C82BE9">
      <w:pPr>
        <w:ind w:left="-284" w:right="-433"/>
        <w:jc w:val="both"/>
        <w:rPr>
          <w:rFonts w:cs="Times New Roman"/>
        </w:rPr>
      </w:pPr>
      <w:r>
        <w:t xml:space="preserve">Esta tarde se ha dado el primer paso hacia la edición 2024 de EIMA International. El gran salón dedicado a la mecánica agrícola, que organiza FederUnacoma y que celebrará su 46.ª edición en la feria de Bolonia del 6 al 10 de noviembre, se ha presentado oficialmente con una rueda de prensa transmitida en directo a nivel internacional. Conectadas desde el recinto ferial de Bolonia, Mariateresa Maschio y Simona Rapastella, respectivamente presidenta y directora general de FederUnacoma, han ilustrado las características de este prestigioso evento, centrándose en los desafíos de la agromecánica y en las tendencias que caracterizan el mercado del sector. </w:t>
      </w:r>
    </w:p>
    <w:p w14:paraId="6376AE67" w14:textId="686678F0" w:rsidR="00B75F26" w:rsidRPr="00F42DC9" w:rsidRDefault="00C82BE9" w:rsidP="00C82BE9">
      <w:pPr>
        <w:ind w:left="-284" w:right="-433"/>
        <w:jc w:val="both"/>
        <w:rPr>
          <w:rFonts w:cs="Times New Roman"/>
        </w:rPr>
      </w:pPr>
      <w:r>
        <w:t xml:space="preserve">“EIMA International es un evento de gran importancia desde el punto de vista promocional y comercial –ha afirmado Mariateresa Maschio al inaugurar la rueda de prensa–, es la feria que los fabricantes de todo el mundo, desde las grandes marcas globales hasta las </w:t>
      </w:r>
      <w:r w:rsidR="003876A3">
        <w:t>empresas</w:t>
      </w:r>
      <w:r>
        <w:t xml:space="preserve"> de nicho altamente especializadas, eligen para presentar su gama y todas las novedades de producto”. </w:t>
      </w:r>
    </w:p>
    <w:p w14:paraId="1FE0057D" w14:textId="58A9E66B" w:rsidR="00B75F26" w:rsidRPr="00F42DC9" w:rsidRDefault="00C82BE9" w:rsidP="00C82BE9">
      <w:pPr>
        <w:ind w:left="-284" w:right="-433"/>
        <w:jc w:val="both"/>
        <w:rPr>
          <w:rFonts w:cs="Times New Roman"/>
        </w:rPr>
      </w:pPr>
      <w:r>
        <w:t>“Todos los países de Europa, América, Asia, África y Oceanía tienen que hacer frente a la necesidad de satisfacer la creciente demanda de productos alimentarios, tanto desde el punto de vista de la cantidad como de la calidad –ha subrayado la presidenta de FederUnacoma– y, al mismo tiempo, se ven obliga</w:t>
      </w:r>
      <w:r w:rsidR="003876A3">
        <w:t xml:space="preserve">dos a </w:t>
      </w:r>
      <w:r>
        <w:t xml:space="preserve">reducir el uso de fertilizantes y pesticidas, disminuir drásticamente el consumo de agua, preservar la biodiversidad y mejorar la calidad de vida de las comunidades rurales. Todo esto solo es posible recurriendo a una mecanización agrícola moderna”. Es fundamental poder disponer de medios mecánicos para cualquier contexto productivo y para todos los modelos de empresa agrícola, sobre todo porque los datos de las ventas –que se han dado a conocer durante la rueda de prensa– confirman el crecimiento de la demanda y la tendencia claramente positiva del mercado. Si se comparan las cifras de 2015 con las de 2022, se observan aumentos importantes en casi todos los mercados. Estados Unidos pasó de 205.000 tractores en 2015 a 271.000 en 2022, India de 484.000 tractores a 912.000, Europa Occidental de 171.000 a 196.000, Japón de 20.000 a 34.000 tractores, Canadá de 24.000 a 31.000, Rusia de 22.000 a 35.000, y todos los principales mercados alcanzaron cifras elevadas, con China cerca de 400.000 unidades y Turquía más de 60.000. En los ocho años considerados, el número total de tractores registrados pasó de algo más de 1,9 millones a casi 2,5 millones. En 2022, el comercio mundial de tractores alcanzó un valor de 29.000 millones de euros –se ha dicho en la rueda de prensa– con un aumento de casi el 35 % respecto al año anterior (debido también al aumento de precios), culminando una tendencia que –según cálculos de Export Planning– vio un aumento de 2009 a 2022 de los flujos comerciales del 4,7 % anual. En cuanto a los otros tipos de máquinas, el comercio mundial ha alcanzado un valor de más de 70.000 millones de euros en 2022 (+25 %), con una tasa de crecimiento del 5,6 % de promedio anual también en el período 2009-2022. Naturalmente, dentro de una tendencia positiva a medio y largo plazo, existen oscilaciones en el mercado, determinadas por circunstancias económicas particulares. Para 2023 se prevé, precisamente, una caída de las ventas a nivel global. </w:t>
      </w:r>
    </w:p>
    <w:p w14:paraId="4A81DF96" w14:textId="77777777" w:rsidR="00B75F26" w:rsidRPr="00F42DC9" w:rsidRDefault="00B75F26" w:rsidP="00C82BE9">
      <w:pPr>
        <w:ind w:left="-284" w:right="-433"/>
        <w:jc w:val="both"/>
        <w:rPr>
          <w:rFonts w:cs="Times New Roman"/>
          <w:lang w:val="it-IT"/>
        </w:rPr>
      </w:pPr>
    </w:p>
    <w:p w14:paraId="79161D22" w14:textId="77777777" w:rsidR="00B75F26" w:rsidRPr="00F42DC9" w:rsidRDefault="00B75F26" w:rsidP="00C82BE9">
      <w:pPr>
        <w:ind w:left="-284" w:right="-433"/>
        <w:jc w:val="both"/>
        <w:rPr>
          <w:rFonts w:cs="Times New Roman"/>
          <w:lang w:val="it-IT"/>
        </w:rPr>
      </w:pPr>
    </w:p>
    <w:p w14:paraId="27332B8B" w14:textId="77777777" w:rsidR="00B75F26" w:rsidRPr="00F42DC9" w:rsidRDefault="00B75F26" w:rsidP="00C82BE9">
      <w:pPr>
        <w:ind w:left="-284" w:right="-433"/>
        <w:jc w:val="both"/>
        <w:rPr>
          <w:rFonts w:cs="Times New Roman"/>
          <w:lang w:val="it-IT"/>
        </w:rPr>
      </w:pPr>
    </w:p>
    <w:p w14:paraId="17DC5C03" w14:textId="77777777" w:rsidR="00B75F26" w:rsidRPr="00F42DC9" w:rsidRDefault="00B75F26" w:rsidP="00C82BE9">
      <w:pPr>
        <w:ind w:left="-284" w:right="-433"/>
        <w:jc w:val="both"/>
        <w:rPr>
          <w:rFonts w:cs="Times New Roman"/>
          <w:lang w:val="it-IT"/>
        </w:rPr>
      </w:pPr>
    </w:p>
    <w:p w14:paraId="78CF0929" w14:textId="14AA00A9" w:rsidR="00C82BE9" w:rsidRPr="00F42DC9" w:rsidRDefault="00C82BE9" w:rsidP="00B75F26">
      <w:pPr>
        <w:ind w:left="-284" w:right="-433"/>
        <w:jc w:val="both"/>
        <w:rPr>
          <w:rFonts w:cs="Times New Roman"/>
        </w:rPr>
      </w:pPr>
      <w:r>
        <w:lastRenderedPageBreak/>
        <w:t xml:space="preserve">Los datos actualizados en noviembre del año pasado indican, entre otras cosas, una caída de las ventas de tractores del 8,4 % en Estados Unidos, del 5 % en Europa y del 21 % en China. Los factores que más </w:t>
      </w:r>
      <w:r w:rsidR="003876A3">
        <w:t xml:space="preserve">están influyendo </w:t>
      </w:r>
      <w:r>
        <w:t>en el mercado de las máquinas agrícolas –se ha explicado en la rueda de prensa– son los relacionados con la incertidumbre económica, determinada en gran medida por la guerra entre Rusia y Ucrania y las consiguientes listas negras y sanciones comerciales, y agravada ahora por el nuevo conflicto en Oriente Medio. A todo ello hay que añadir el papel importante que está teniendo inflación –que ha provocado, sobre todo en Europa, un aumento significativo de los costes de producción y, por</w:t>
      </w:r>
      <w:r w:rsidR="003876A3">
        <w:t xml:space="preserve"> lo</w:t>
      </w:r>
      <w:r>
        <w:t xml:space="preserve"> tanto, del precio final de las máquinas– y, sobre todo, el aumento de los tipos de interés, practicado principalmente por el banco central europeo y el estadounidense. “Una vez superada esta fase –ha concluido Mariateresa Maschio– el mercado volverá a crecer ante una demanda que no cesa. En cuanto al comercio de máquinas agrícolas, las previsiones de Export Planning para el futuro próximo confirman la tendencia positiva con aumentos medios anuales del 6,3 % hasta 2027 para los tractores y del 5,9 % para los demás tipos de máquinas. Una vez más, el EIMA de Bolonia será el motor de la innovación, el elemento que impulsará la agricultura hacia el futuro”.</w:t>
      </w:r>
    </w:p>
    <w:p w14:paraId="18C387AD" w14:textId="77777777" w:rsidR="006601E7" w:rsidRPr="00F42DC9" w:rsidRDefault="006601E7" w:rsidP="00C82BE9">
      <w:pPr>
        <w:ind w:left="-284" w:right="-433"/>
        <w:jc w:val="both"/>
        <w:rPr>
          <w:rFonts w:eastAsiaTheme="minorEastAsia" w:cs="Times New Roman"/>
          <w:color w:val="auto"/>
          <w:lang w:val="it-IT"/>
        </w:rPr>
      </w:pPr>
    </w:p>
    <w:p w14:paraId="2038C21B" w14:textId="55CBB0A0" w:rsidR="006601E7" w:rsidRDefault="00C82BE9" w:rsidP="006601E7">
      <w:pPr>
        <w:ind w:left="-284"/>
        <w:jc w:val="both"/>
        <w:rPr>
          <w:b/>
          <w:bCs/>
        </w:rPr>
      </w:pPr>
      <w:r>
        <w:rPr>
          <w:b/>
        </w:rPr>
        <w:t>Bolonia, 18 de enero de 2024</w:t>
      </w: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B92403">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F60D" w14:textId="77777777" w:rsidR="00B92403" w:rsidRDefault="00B92403">
      <w:r>
        <w:separator/>
      </w:r>
    </w:p>
  </w:endnote>
  <w:endnote w:type="continuationSeparator" w:id="0">
    <w:p w14:paraId="5CE25606" w14:textId="77777777" w:rsidR="00B92403" w:rsidRDefault="00B9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2232E" w14:textId="77777777" w:rsidR="00B92403" w:rsidRDefault="00B92403">
      <w:r>
        <w:separator/>
      </w:r>
    </w:p>
  </w:footnote>
  <w:footnote w:type="continuationSeparator" w:id="0">
    <w:p w14:paraId="7DDBB11A" w14:textId="77777777" w:rsidR="00B92403" w:rsidRDefault="00B92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000000">
    <w:pPr>
      <w:pStyle w:val="Intestazione"/>
      <w:tabs>
        <w:tab w:val="clear" w:pos="9638"/>
        <w:tab w:val="right" w:pos="7485"/>
      </w:tabs>
    </w:pPr>
    <w:sdt>
      <w:sdtPr>
        <w:id w:val="-1786807496"/>
        <w:docPartObj>
          <w:docPartGallery w:val="Page Numbers (Margins)"/>
          <w:docPartUnique/>
        </w:docPartObj>
      </w:sdtPr>
      <w:sdtContent>
        <w:r w:rsidR="005A76FC">
          <w:rPr>
            <w:noProof/>
            <w:lang w:eastAsia="es-ES"/>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rPr>
                                  <w:fldChar w:fldCharType="begin"/>
                                </w:r>
                                <w:r>
                                  <w:instrText>PAGE    \* MERGEFORMAT</w:instrText>
                                </w:r>
                                <w:r>
                                  <w:rPr>
                                    <w:color w:val="auto"/>
                                    <w:sz w:val="22"/>
                                  </w:rPr>
                                  <w:fldChar w:fldCharType="separate"/>
                                </w:r>
                                <w:r w:rsidR="003876A3" w:rsidRPr="003876A3">
                                  <w:rPr>
                                    <w:rStyle w:val="Numeropagina"/>
                                    <w:b/>
                                    <w:noProof/>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rPr>
                            <w:fldChar w:fldCharType="begin"/>
                          </w:r>
                          <w:r>
                            <w:instrText>PAGE    \* MERGEFORMAT</w:instrText>
                          </w:r>
                          <w:r>
                            <w:rPr>
                              <w:color w:val="auto"/>
                              <w:sz w:val="22"/>
                            </w:rPr>
                            <w:fldChar w:fldCharType="separate"/>
                          </w:r>
                          <w:r w:rsidR="003876A3" w:rsidRPr="003876A3">
                            <w:rPr>
                              <w:rStyle w:val="Numeropagina"/>
                              <w:b/>
                              <w:noProof/>
                              <w:color w:val="3F3151" w:themeColor="accent4" w:themeShade="7F"/>
                              <w:sz w:val="16"/>
                            </w:rPr>
                            <w:t>2</w:t>
                          </w:r>
                          <w:r>
                            <w:rPr>
                              <w:rStyle w:val="Numeropa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A76FC">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34392"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A76FC">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A76FC">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3876A3">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3876A3">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7147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1F16"/>
    <w:rsid w:val="00363902"/>
    <w:rsid w:val="00364712"/>
    <w:rsid w:val="00370F76"/>
    <w:rsid w:val="00371FC4"/>
    <w:rsid w:val="003876A3"/>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66333"/>
    <w:rsid w:val="00471E45"/>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92561"/>
    <w:rsid w:val="005A5F9E"/>
    <w:rsid w:val="005A76FC"/>
    <w:rsid w:val="005B1E4C"/>
    <w:rsid w:val="005B2322"/>
    <w:rsid w:val="005B51B0"/>
    <w:rsid w:val="005B5F74"/>
    <w:rsid w:val="005B649F"/>
    <w:rsid w:val="005C1824"/>
    <w:rsid w:val="005C4F52"/>
    <w:rsid w:val="005E71D7"/>
    <w:rsid w:val="006063EA"/>
    <w:rsid w:val="006121B5"/>
    <w:rsid w:val="00622248"/>
    <w:rsid w:val="0062254E"/>
    <w:rsid w:val="006235D9"/>
    <w:rsid w:val="00626EBC"/>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2BB5"/>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4FE"/>
    <w:rsid w:val="00922337"/>
    <w:rsid w:val="009234B5"/>
    <w:rsid w:val="00924547"/>
    <w:rsid w:val="0093426C"/>
    <w:rsid w:val="0093775C"/>
    <w:rsid w:val="0097010F"/>
    <w:rsid w:val="00970BE4"/>
    <w:rsid w:val="00971E4E"/>
    <w:rsid w:val="009913A8"/>
    <w:rsid w:val="009A1C8E"/>
    <w:rsid w:val="009C0F34"/>
    <w:rsid w:val="009C2022"/>
    <w:rsid w:val="009F23FD"/>
    <w:rsid w:val="00A00A57"/>
    <w:rsid w:val="00A20F14"/>
    <w:rsid w:val="00A22BFE"/>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75F26"/>
    <w:rsid w:val="00B90224"/>
    <w:rsid w:val="00B92403"/>
    <w:rsid w:val="00B95369"/>
    <w:rsid w:val="00BA004C"/>
    <w:rsid w:val="00BA1DF9"/>
    <w:rsid w:val="00BC3205"/>
    <w:rsid w:val="00BE2C5C"/>
    <w:rsid w:val="00BE3E13"/>
    <w:rsid w:val="00C01744"/>
    <w:rsid w:val="00C03358"/>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F1367E"/>
    <w:rsid w:val="00F42DC9"/>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s-E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s-E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s-E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s-E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8657D-404D-4539-8DC1-CE3A764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764</Words>
  <Characters>4358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4</cp:revision>
  <cp:lastPrinted>2024-01-18T11:40:00Z</cp:lastPrinted>
  <dcterms:created xsi:type="dcterms:W3CDTF">2024-01-18T11:40:00Z</dcterms:created>
  <dcterms:modified xsi:type="dcterms:W3CDTF">2024-01-18T12:25:00Z</dcterms:modified>
</cp:coreProperties>
</file>